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FA7" w:rsidRDefault="00FE0FA7" w:rsidP="00FE0FA7">
      <w:pPr>
        <w:shd w:val="clear" w:color="auto" w:fill="FFFFFF"/>
        <w:spacing w:after="0" w:line="288" w:lineRule="atLeast"/>
        <w:textAlignment w:val="baseline"/>
        <w:outlineLvl w:val="3"/>
        <w:rPr>
          <w:rFonts w:ascii="Century Gothic" w:eastAsia="Times New Roman" w:hAnsi="Century Gothic" w:cs="Times New Roman"/>
          <w:b/>
          <w:bCs/>
          <w:color w:val="3C3C3B"/>
          <w:spacing w:val="-5"/>
          <w:bdr w:val="none" w:sz="0" w:space="0" w:color="auto" w:frame="1"/>
          <w:lang w:eastAsia="en-GB"/>
        </w:rPr>
      </w:pPr>
      <w:r>
        <w:rPr>
          <w:rFonts w:ascii="Century Gothic" w:eastAsia="Times New Roman" w:hAnsi="Century Gothic" w:cs="Times New Roman"/>
          <w:b/>
          <w:bCs/>
          <w:color w:val="3C3C3B"/>
          <w:spacing w:val="-5"/>
          <w:bdr w:val="none" w:sz="0" w:space="0" w:color="auto" w:frame="1"/>
          <w:lang w:eastAsia="en-GB"/>
        </w:rPr>
        <w:t>At Lancaster School, a Music Mark School, we will be following the guidance given by the Southend Music Hub to deliver the music curriculum</w:t>
      </w:r>
    </w:p>
    <w:p w:rsidR="00FE0FA7" w:rsidRDefault="00FE0FA7" w:rsidP="00FE0FA7">
      <w:pPr>
        <w:shd w:val="clear" w:color="auto" w:fill="FFFFFF"/>
        <w:spacing w:after="0" w:line="288" w:lineRule="atLeast"/>
        <w:textAlignment w:val="baseline"/>
        <w:outlineLvl w:val="3"/>
        <w:rPr>
          <w:rFonts w:ascii="Century Gothic" w:eastAsia="Times New Roman" w:hAnsi="Century Gothic" w:cs="Times New Roman"/>
          <w:b/>
          <w:bCs/>
          <w:color w:val="3C3C3B"/>
          <w:spacing w:val="-5"/>
          <w:bdr w:val="none" w:sz="0" w:space="0" w:color="auto" w:frame="1"/>
          <w:lang w:eastAsia="en-GB"/>
        </w:rPr>
      </w:pPr>
    </w:p>
    <w:p w:rsidR="00FE0FA7" w:rsidRPr="00FE0FA7" w:rsidRDefault="00FE0FA7" w:rsidP="00FE0FA7">
      <w:pPr>
        <w:shd w:val="clear" w:color="auto" w:fill="FFFFFF"/>
        <w:spacing w:after="0" w:line="288" w:lineRule="atLeast"/>
        <w:textAlignment w:val="baseline"/>
        <w:outlineLvl w:val="3"/>
        <w:rPr>
          <w:rFonts w:ascii="Times New Roman" w:eastAsia="Times New Roman" w:hAnsi="Times New Roman" w:cs="Times New Roman"/>
          <w:b/>
          <w:bCs/>
          <w:color w:val="201F1E"/>
          <w:sz w:val="24"/>
          <w:szCs w:val="24"/>
          <w:lang w:eastAsia="en-GB"/>
        </w:rPr>
      </w:pPr>
      <w:r w:rsidRPr="00FE0FA7">
        <w:rPr>
          <w:rFonts w:ascii="Century Gothic" w:eastAsia="Times New Roman" w:hAnsi="Century Gothic" w:cs="Times New Roman"/>
          <w:b/>
          <w:bCs/>
          <w:color w:val="3C3C3B"/>
          <w:spacing w:val="-5"/>
          <w:bdr w:val="none" w:sz="0" w:space="0" w:color="auto" w:frame="1"/>
          <w:lang w:eastAsia="en-GB"/>
        </w:rPr>
        <w:t xml:space="preserve">An interpretation of the </w:t>
      </w:r>
      <w:proofErr w:type="spellStart"/>
      <w:r w:rsidRPr="00FE0FA7">
        <w:rPr>
          <w:rFonts w:ascii="Century Gothic" w:eastAsia="Times New Roman" w:hAnsi="Century Gothic" w:cs="Times New Roman"/>
          <w:b/>
          <w:bCs/>
          <w:color w:val="3C3C3B"/>
          <w:spacing w:val="-5"/>
          <w:bdr w:val="none" w:sz="0" w:space="0" w:color="auto" w:frame="1"/>
          <w:lang w:eastAsia="en-GB"/>
        </w:rPr>
        <w:t>D</w:t>
      </w:r>
      <w:r w:rsidRPr="00FE0FA7">
        <w:rPr>
          <w:rFonts w:ascii="Century Gothic" w:eastAsia="Times New Roman" w:hAnsi="Century Gothic" w:cs="Times New Roman"/>
          <w:b/>
          <w:bCs/>
          <w:i/>
          <w:iCs/>
          <w:color w:val="3C3C3B"/>
          <w:spacing w:val="-5"/>
          <w:bdr w:val="none" w:sz="0" w:space="0" w:color="auto" w:frame="1"/>
          <w:lang w:eastAsia="en-GB"/>
        </w:rPr>
        <w:t>f</w:t>
      </w:r>
      <w:r w:rsidRPr="00FE0FA7">
        <w:rPr>
          <w:rFonts w:ascii="Century Gothic" w:eastAsia="Times New Roman" w:hAnsi="Century Gothic" w:cs="Times New Roman"/>
          <w:b/>
          <w:bCs/>
          <w:color w:val="3C3C3B"/>
          <w:spacing w:val="-5"/>
          <w:bdr w:val="none" w:sz="0" w:space="0" w:color="auto" w:frame="1"/>
          <w:lang w:eastAsia="en-GB"/>
        </w:rPr>
        <w:t>E’s</w:t>
      </w:r>
      <w:proofErr w:type="spellEnd"/>
      <w:r w:rsidRPr="00FE0FA7">
        <w:rPr>
          <w:rFonts w:ascii="Century Gothic" w:eastAsia="Times New Roman" w:hAnsi="Century Gothic" w:cs="Times New Roman"/>
          <w:b/>
          <w:bCs/>
          <w:color w:val="3C3C3B"/>
          <w:spacing w:val="-5"/>
          <w:bdr w:val="none" w:sz="0" w:space="0" w:color="auto" w:frame="1"/>
          <w:lang w:eastAsia="en-GB"/>
        </w:rPr>
        <w:t xml:space="preserve"> Guidance for Full O</w:t>
      </w:r>
      <w:r>
        <w:rPr>
          <w:rFonts w:ascii="Century Gothic" w:eastAsia="Times New Roman" w:hAnsi="Century Gothic" w:cs="Times New Roman"/>
          <w:b/>
          <w:bCs/>
          <w:color w:val="3C3C3B"/>
          <w:spacing w:val="-5"/>
          <w:bdr w:val="none" w:sz="0" w:space="0" w:color="auto" w:frame="1"/>
          <w:lang w:eastAsia="en-GB"/>
        </w:rPr>
        <w:t>pening – Schools</w:t>
      </w:r>
    </w:p>
    <w:p w:rsidR="00FE0FA7" w:rsidRPr="00FE0FA7" w:rsidRDefault="00FE0FA7" w:rsidP="00FE0FA7">
      <w:pPr>
        <w:shd w:val="clear" w:color="auto" w:fill="FFFFFF"/>
        <w:spacing w:beforeAutospacing="1" w:after="0" w:line="288" w:lineRule="atLeast"/>
        <w:textAlignment w:val="baseline"/>
        <w:outlineLvl w:val="1"/>
        <w:rPr>
          <w:rFonts w:ascii="Times New Roman" w:eastAsia="Times New Roman" w:hAnsi="Times New Roman" w:cs="Times New Roman"/>
          <w:b/>
          <w:bCs/>
          <w:color w:val="201F1E"/>
          <w:sz w:val="36"/>
          <w:szCs w:val="36"/>
          <w:lang w:eastAsia="en-GB"/>
        </w:rPr>
      </w:pPr>
      <w:r w:rsidRPr="00FE0FA7">
        <w:rPr>
          <w:rFonts w:ascii="Century Gothic" w:eastAsia="Times New Roman" w:hAnsi="Century Gothic" w:cs="Times New Roman"/>
          <w:b/>
          <w:bCs/>
          <w:color w:val="3C3C3B"/>
          <w:spacing w:val="-5"/>
          <w:bdr w:val="none" w:sz="0" w:space="0" w:color="auto" w:frame="1"/>
          <w:lang w:eastAsia="en-GB"/>
        </w:rPr>
        <w:t>Music in the curriculum</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i/>
          <w:iCs/>
          <w:color w:val="3C3C3B"/>
          <w:bdr w:val="none" w:sz="0" w:space="0" w:color="auto" w:frame="1"/>
          <w:lang w:eastAsia="en-GB"/>
        </w:rPr>
        <w:t>The curriculum should remain broad, so that the majority of pupils are taught a full range of subjects over the year, including…the arts…</w:t>
      </w:r>
    </w:p>
    <w:p w:rsidR="00FE0FA7" w:rsidRPr="00FE0FA7" w:rsidRDefault="00FE0FA7" w:rsidP="00FE0FA7">
      <w:pPr>
        <w:shd w:val="clear" w:color="auto" w:fill="FFFFFF"/>
        <w:spacing w:beforeAutospacing="1"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Music can and should be taught to</w:t>
      </w:r>
      <w:r>
        <w:rPr>
          <w:rFonts w:ascii="Century Gothic" w:eastAsia="Times New Roman" w:hAnsi="Century Gothic" w:cs="Times New Roman"/>
          <w:color w:val="3C3C3B"/>
          <w:bdr w:val="none" w:sz="0" w:space="0" w:color="auto" w:frame="1"/>
          <w:lang w:eastAsia="en-GB"/>
        </w:rPr>
        <w:t xml:space="preserve"> all pupils </w:t>
      </w:r>
      <w:r w:rsidRPr="00FE0FA7">
        <w:rPr>
          <w:rFonts w:ascii="Century Gothic" w:eastAsia="Times New Roman" w:hAnsi="Century Gothic" w:cs="Times New Roman"/>
          <w:color w:val="3C3C3B"/>
          <w:bdr w:val="none" w:sz="0" w:space="0" w:color="auto" w:frame="1"/>
          <w:lang w:eastAsia="en-GB"/>
        </w:rPr>
        <w:t xml:space="preserve">from the start of the </w:t>
      </w:r>
      <w:proofErr w:type="gramStart"/>
      <w:r w:rsidRPr="00FE0FA7">
        <w:rPr>
          <w:rFonts w:ascii="Century Gothic" w:eastAsia="Times New Roman" w:hAnsi="Century Gothic" w:cs="Times New Roman"/>
          <w:color w:val="3C3C3B"/>
          <w:bdr w:val="none" w:sz="0" w:space="0" w:color="auto" w:frame="1"/>
          <w:lang w:eastAsia="en-GB"/>
        </w:rPr>
        <w:t>Autumn</w:t>
      </w:r>
      <w:proofErr w:type="gramEnd"/>
      <w:r w:rsidRPr="00FE0FA7">
        <w:rPr>
          <w:rFonts w:ascii="Century Gothic" w:eastAsia="Times New Roman" w:hAnsi="Century Gothic" w:cs="Times New Roman"/>
          <w:color w:val="3C3C3B"/>
          <w:bdr w:val="none" w:sz="0" w:space="0" w:color="auto" w:frame="1"/>
          <w:lang w:eastAsia="en-GB"/>
        </w:rPr>
        <w:t xml:space="preserve"> term, in order to ensure that “the curriculum remains broad and ambitious”.  Schools should “make use of existing flexibilities to make time to cover the most important missed content” but “the majority of pupils” should still be taught “a full range of subjects over</w:t>
      </w:r>
      <w:r>
        <w:rPr>
          <w:rFonts w:ascii="Century Gothic" w:eastAsia="Times New Roman" w:hAnsi="Century Gothic" w:cs="Times New Roman"/>
          <w:color w:val="3C3C3B"/>
          <w:bdr w:val="none" w:sz="0" w:space="0" w:color="auto" w:frame="1"/>
          <w:lang w:eastAsia="en-GB"/>
        </w:rPr>
        <w:t xml:space="preserve"> the year, including…the arts…”</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i/>
          <w:iCs/>
          <w:color w:val="3C3C3B"/>
          <w:bdr w:val="none" w:sz="0" w:space="0" w:color="auto" w:frame="1"/>
          <w:lang w:eastAsia="en-GB"/>
        </w:rPr>
        <w:t>Some schools may keep children in their class groups for the majority of the classroom time but allow mixing into wider groups for specialist teaching.</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i/>
          <w:iCs/>
          <w:color w:val="3C3C3B"/>
          <w:bdr w:val="none" w:sz="0" w:space="0" w:color="auto" w:frame="1"/>
          <w:lang w:eastAsia="en-GB"/>
        </w:rPr>
        <w:t>All teachers and other staff can operate across different classes and year groups in order to facilitate the delivery of the school timetable.</w:t>
      </w:r>
    </w:p>
    <w:p w:rsidR="00FE0FA7" w:rsidRPr="00FE0FA7" w:rsidRDefault="00FE0FA7" w:rsidP="00FE0FA7">
      <w:pPr>
        <w:shd w:val="clear" w:color="auto" w:fill="FFFFFF"/>
        <w:spacing w:beforeAutospacing="1"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Where one person teaches music across the school, subject to risk control measures on class changeovers, this can continue, either on the basis of the teacher moving classrooms – as may happen in some primary schools – or with classes going into a music department or room, as will happen in secondary schools.</w:t>
      </w:r>
    </w:p>
    <w:p w:rsidR="00FE0FA7" w:rsidRPr="00FE0FA7" w:rsidRDefault="00FE0FA7" w:rsidP="00FE0FA7">
      <w:pPr>
        <w:shd w:val="clear" w:color="auto" w:fill="FFFFFF"/>
        <w:spacing w:beforeAutospacing="1"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 xml:space="preserve">Singing is possible in </w:t>
      </w:r>
      <w:r w:rsidRPr="00FE0FA7">
        <w:rPr>
          <w:rFonts w:ascii="Century Gothic" w:eastAsia="Times New Roman" w:hAnsi="Century Gothic" w:cs="Times New Roman"/>
          <w:b/>
          <w:color w:val="3C3C3B"/>
          <w:bdr w:val="none" w:sz="0" w:space="0" w:color="auto" w:frame="1"/>
          <w:lang w:eastAsia="en-GB"/>
        </w:rPr>
        <w:t>groups up to 15</w:t>
      </w:r>
      <w:r w:rsidRPr="00FE0FA7">
        <w:rPr>
          <w:rFonts w:ascii="Century Gothic" w:eastAsia="Times New Roman" w:hAnsi="Century Gothic" w:cs="Times New Roman"/>
          <w:color w:val="3C3C3B"/>
          <w:bdr w:val="none" w:sz="0" w:space="0" w:color="auto" w:frame="1"/>
          <w:lang w:eastAsia="en-GB"/>
        </w:rPr>
        <w:t>, subject to sufficient space and ventilation.  Use of classroom instruments (e.g. the percussion trolley) and ICT equipment is possible but additional cleaning will be necessary.  Pianos and keyboards count as shared instruments.</w:t>
      </w:r>
    </w:p>
    <w:p w:rsidR="00FE0FA7" w:rsidRPr="00FE0FA7" w:rsidRDefault="00FE0FA7" w:rsidP="00FE0FA7">
      <w:pPr>
        <w:shd w:val="clear" w:color="auto" w:fill="FFFFFF"/>
        <w:spacing w:beforeAutospacing="1" w:after="0" w:line="288" w:lineRule="atLeast"/>
        <w:textAlignment w:val="baseline"/>
        <w:outlineLvl w:val="1"/>
        <w:rPr>
          <w:rFonts w:ascii="Times New Roman" w:eastAsia="Times New Roman" w:hAnsi="Times New Roman" w:cs="Times New Roman"/>
          <w:b/>
          <w:bCs/>
          <w:color w:val="201F1E"/>
          <w:sz w:val="36"/>
          <w:szCs w:val="36"/>
          <w:lang w:eastAsia="en-GB"/>
        </w:rPr>
      </w:pPr>
      <w:r w:rsidRPr="00FE0FA7">
        <w:rPr>
          <w:rFonts w:ascii="Century Gothic" w:eastAsia="Times New Roman" w:hAnsi="Century Gothic" w:cs="Times New Roman"/>
          <w:b/>
          <w:bCs/>
          <w:color w:val="3C3C3B"/>
          <w:spacing w:val="-5"/>
          <w:bdr w:val="none" w:sz="0" w:space="0" w:color="auto" w:frame="1"/>
          <w:lang w:eastAsia="en-GB"/>
        </w:rPr>
        <w:t>Wellbeing</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i/>
          <w:iCs/>
          <w:color w:val="3C3C3B"/>
          <w:bdr w:val="none" w:sz="0" w:space="0" w:color="auto" w:frame="1"/>
          <w:lang w:eastAsia="en-GB"/>
        </w:rPr>
        <w:t>Schools should consider the provision of pastoral and extra-curricular activities to all pupils designed to:</w:t>
      </w:r>
    </w:p>
    <w:p w:rsidR="00FE0FA7" w:rsidRPr="00FE0FA7" w:rsidRDefault="00FE0FA7" w:rsidP="00FE0FA7">
      <w:pPr>
        <w:shd w:val="clear" w:color="auto" w:fill="FFFFFF"/>
        <w:spacing w:after="0" w:line="312" w:lineRule="atLeast"/>
        <w:ind w:hanging="360"/>
        <w:textAlignment w:val="baseline"/>
        <w:rPr>
          <w:rFonts w:ascii="Calibri" w:eastAsia="Times New Roman" w:hAnsi="Calibri" w:cs="Calibri"/>
          <w:color w:val="201F1E"/>
          <w:lang w:eastAsia="en-GB"/>
        </w:rPr>
      </w:pPr>
      <w:r w:rsidRPr="00FE0FA7">
        <w:rPr>
          <w:rFonts w:ascii="Symbol" w:eastAsia="Times New Roman" w:hAnsi="Symbol" w:cs="Calibri"/>
          <w:color w:val="3C3C3B"/>
          <w:sz w:val="20"/>
          <w:szCs w:val="20"/>
          <w:bdr w:val="none" w:sz="0" w:space="0" w:color="auto" w:frame="1"/>
          <w:lang w:eastAsia="en-GB"/>
        </w:rPr>
        <w:t></w:t>
      </w:r>
      <w:r w:rsidRPr="00FE0FA7">
        <w:rPr>
          <w:rFonts w:ascii="Times New Roman" w:eastAsia="Times New Roman" w:hAnsi="Times New Roman" w:cs="Times New Roman"/>
          <w:color w:val="3C3C3B"/>
          <w:sz w:val="14"/>
          <w:szCs w:val="14"/>
          <w:bdr w:val="none" w:sz="0" w:space="0" w:color="auto" w:frame="1"/>
          <w:lang w:eastAsia="en-GB"/>
        </w:rPr>
        <w:t>         </w:t>
      </w:r>
      <w:r w:rsidRPr="00FE0FA7">
        <w:rPr>
          <w:rFonts w:ascii="Century Gothic" w:eastAsia="Times New Roman" w:hAnsi="Century Gothic" w:cs="Calibri"/>
          <w:i/>
          <w:iCs/>
          <w:color w:val="3C3C3B"/>
          <w:bdr w:val="none" w:sz="0" w:space="0" w:color="auto" w:frame="1"/>
          <w:lang w:eastAsia="en-GB"/>
        </w:rPr>
        <w:t>support the rebuilding of friendships and social engagement</w:t>
      </w:r>
    </w:p>
    <w:p w:rsidR="00FE0FA7" w:rsidRPr="00FE0FA7" w:rsidRDefault="00FE0FA7" w:rsidP="00FE0FA7">
      <w:pPr>
        <w:shd w:val="clear" w:color="auto" w:fill="FFFFFF"/>
        <w:spacing w:after="0" w:line="312" w:lineRule="atLeast"/>
        <w:ind w:hanging="360"/>
        <w:textAlignment w:val="baseline"/>
        <w:rPr>
          <w:rFonts w:ascii="Calibri" w:eastAsia="Times New Roman" w:hAnsi="Calibri" w:cs="Calibri"/>
          <w:color w:val="201F1E"/>
          <w:lang w:eastAsia="en-GB"/>
        </w:rPr>
      </w:pPr>
      <w:r w:rsidRPr="00FE0FA7">
        <w:rPr>
          <w:rFonts w:ascii="Symbol" w:eastAsia="Times New Roman" w:hAnsi="Symbol" w:cs="Calibri"/>
          <w:color w:val="3C3C3B"/>
          <w:sz w:val="20"/>
          <w:szCs w:val="20"/>
          <w:bdr w:val="none" w:sz="0" w:space="0" w:color="auto" w:frame="1"/>
          <w:lang w:eastAsia="en-GB"/>
        </w:rPr>
        <w:t></w:t>
      </w:r>
      <w:r w:rsidRPr="00FE0FA7">
        <w:rPr>
          <w:rFonts w:ascii="Times New Roman" w:eastAsia="Times New Roman" w:hAnsi="Times New Roman" w:cs="Times New Roman"/>
          <w:color w:val="3C3C3B"/>
          <w:sz w:val="14"/>
          <w:szCs w:val="14"/>
          <w:bdr w:val="none" w:sz="0" w:space="0" w:color="auto" w:frame="1"/>
          <w:lang w:eastAsia="en-GB"/>
        </w:rPr>
        <w:t>         </w:t>
      </w:r>
      <w:r w:rsidRPr="00FE0FA7">
        <w:rPr>
          <w:rFonts w:ascii="Century Gothic" w:eastAsia="Times New Roman" w:hAnsi="Century Gothic" w:cs="Calibri"/>
          <w:i/>
          <w:iCs/>
          <w:color w:val="3C3C3B"/>
          <w:bdr w:val="none" w:sz="0" w:space="0" w:color="auto" w:frame="1"/>
          <w:lang w:eastAsia="en-GB"/>
        </w:rPr>
        <w:t>address and equip pupils to respond to issues linked to coronavirus (COVID-19)</w:t>
      </w:r>
    </w:p>
    <w:p w:rsidR="00FE0FA7" w:rsidRPr="00FE0FA7" w:rsidRDefault="00FE0FA7" w:rsidP="00FE0FA7">
      <w:pPr>
        <w:shd w:val="clear" w:color="auto" w:fill="FFFFFF"/>
        <w:spacing w:after="0" w:line="312" w:lineRule="atLeast"/>
        <w:ind w:hanging="360"/>
        <w:textAlignment w:val="baseline"/>
        <w:rPr>
          <w:rFonts w:ascii="Calibri" w:eastAsia="Times New Roman" w:hAnsi="Calibri" w:cs="Calibri"/>
          <w:color w:val="201F1E"/>
          <w:lang w:eastAsia="en-GB"/>
        </w:rPr>
      </w:pPr>
      <w:r w:rsidRPr="00FE0FA7">
        <w:rPr>
          <w:rFonts w:ascii="Symbol" w:eastAsia="Times New Roman" w:hAnsi="Symbol" w:cs="Calibri"/>
          <w:color w:val="3C3C3B"/>
          <w:sz w:val="20"/>
          <w:szCs w:val="20"/>
          <w:bdr w:val="none" w:sz="0" w:space="0" w:color="auto" w:frame="1"/>
          <w:lang w:eastAsia="en-GB"/>
        </w:rPr>
        <w:t></w:t>
      </w:r>
      <w:r w:rsidRPr="00FE0FA7">
        <w:rPr>
          <w:rFonts w:ascii="Times New Roman" w:eastAsia="Times New Roman" w:hAnsi="Times New Roman" w:cs="Times New Roman"/>
          <w:color w:val="3C3C3B"/>
          <w:sz w:val="14"/>
          <w:szCs w:val="14"/>
          <w:bdr w:val="none" w:sz="0" w:space="0" w:color="auto" w:frame="1"/>
          <w:lang w:eastAsia="en-GB"/>
        </w:rPr>
        <w:t>         </w:t>
      </w:r>
      <w:r w:rsidRPr="00FE0FA7">
        <w:rPr>
          <w:rFonts w:ascii="Century Gothic" w:eastAsia="Times New Roman" w:hAnsi="Century Gothic" w:cs="Calibri"/>
          <w:i/>
          <w:iCs/>
          <w:color w:val="3C3C3B"/>
          <w:bdr w:val="none" w:sz="0" w:space="0" w:color="auto" w:frame="1"/>
          <w:lang w:eastAsia="en-GB"/>
        </w:rPr>
        <w:t>support pupils with approaches to improving their physical and mental wellbeing</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Some pupils will need support to help them contextualise and process their emotional experiences of lockdown and COVID-19.  All pupils are likely to have something they need to articulate in response to lockdown and the return to normality.  Music activities can help meet this requirement at all key stages and a variety of online learning resources, both pre-existing and written since March 2020, exist.  Local music education hubs may have published a music recovery curriculum like </w:t>
      </w:r>
      <w:hyperlink r:id="rId4" w:tgtFrame="_blank" w:history="1">
        <w:r w:rsidRPr="00FE0FA7">
          <w:rPr>
            <w:rFonts w:ascii="Century Gothic" w:eastAsia="Times New Roman" w:hAnsi="Century Gothic" w:cs="Times New Roman"/>
            <w:color w:val="A21F3C"/>
            <w:u w:val="single"/>
            <w:bdr w:val="none" w:sz="0" w:space="0" w:color="auto" w:frame="1"/>
            <w:lang w:eastAsia="en-GB"/>
          </w:rPr>
          <w:t>this one</w:t>
        </w:r>
      </w:hyperlink>
      <w:r w:rsidRPr="00FE0FA7">
        <w:rPr>
          <w:rFonts w:ascii="Century Gothic" w:eastAsia="Times New Roman" w:hAnsi="Century Gothic" w:cs="Times New Roman"/>
          <w:color w:val="3C3C3B"/>
          <w:bdr w:val="none" w:sz="0" w:space="0" w:color="auto" w:frame="1"/>
          <w:lang w:eastAsia="en-GB"/>
        </w:rPr>
        <w:t> from Tri-Borough Music Education Hub in London.</w:t>
      </w:r>
    </w:p>
    <w:p w:rsidR="00FE0FA7" w:rsidRDefault="00FE0FA7" w:rsidP="00FE0FA7">
      <w:pPr>
        <w:shd w:val="clear" w:color="auto" w:fill="FFFFFF"/>
        <w:spacing w:beforeAutospacing="1" w:after="0" w:line="288" w:lineRule="atLeast"/>
        <w:textAlignment w:val="baseline"/>
        <w:outlineLvl w:val="1"/>
        <w:rPr>
          <w:rFonts w:ascii="Century Gothic" w:eastAsia="Times New Roman" w:hAnsi="Century Gothic" w:cs="Times New Roman"/>
          <w:b/>
          <w:bCs/>
          <w:color w:val="3C3C3B"/>
          <w:spacing w:val="-5"/>
          <w:bdr w:val="none" w:sz="0" w:space="0" w:color="auto" w:frame="1"/>
          <w:lang w:eastAsia="en-GB"/>
        </w:rPr>
      </w:pPr>
    </w:p>
    <w:p w:rsidR="00FE0FA7" w:rsidRDefault="00FE0FA7" w:rsidP="00FE0FA7">
      <w:pPr>
        <w:shd w:val="clear" w:color="auto" w:fill="FFFFFF"/>
        <w:spacing w:beforeAutospacing="1" w:after="0" w:line="288" w:lineRule="atLeast"/>
        <w:textAlignment w:val="baseline"/>
        <w:outlineLvl w:val="1"/>
        <w:rPr>
          <w:rFonts w:ascii="Century Gothic" w:eastAsia="Times New Roman" w:hAnsi="Century Gothic" w:cs="Times New Roman"/>
          <w:b/>
          <w:bCs/>
          <w:color w:val="3C3C3B"/>
          <w:spacing w:val="-5"/>
          <w:bdr w:val="none" w:sz="0" w:space="0" w:color="auto" w:frame="1"/>
          <w:lang w:eastAsia="en-GB"/>
        </w:rPr>
      </w:pPr>
    </w:p>
    <w:p w:rsidR="00FE0FA7" w:rsidRPr="00FE0FA7" w:rsidRDefault="00FE0FA7" w:rsidP="00FE0FA7">
      <w:pPr>
        <w:shd w:val="clear" w:color="auto" w:fill="FFFFFF"/>
        <w:spacing w:beforeAutospacing="1" w:after="0" w:line="288" w:lineRule="atLeast"/>
        <w:textAlignment w:val="baseline"/>
        <w:outlineLvl w:val="1"/>
        <w:rPr>
          <w:rFonts w:ascii="Times New Roman" w:eastAsia="Times New Roman" w:hAnsi="Times New Roman" w:cs="Times New Roman"/>
          <w:b/>
          <w:bCs/>
          <w:color w:val="201F1E"/>
          <w:sz w:val="36"/>
          <w:szCs w:val="36"/>
          <w:lang w:eastAsia="en-GB"/>
        </w:rPr>
      </w:pPr>
      <w:r w:rsidRPr="00FE0FA7">
        <w:rPr>
          <w:rFonts w:ascii="Century Gothic" w:eastAsia="Times New Roman" w:hAnsi="Century Gothic" w:cs="Times New Roman"/>
          <w:b/>
          <w:bCs/>
          <w:color w:val="3C3C3B"/>
          <w:spacing w:val="-5"/>
          <w:bdr w:val="none" w:sz="0" w:space="0" w:color="auto" w:frame="1"/>
          <w:lang w:eastAsia="en-GB"/>
        </w:rPr>
        <w:lastRenderedPageBreak/>
        <w:t>Instrumental and vocal tuition</w:t>
      </w:r>
    </w:p>
    <w:p w:rsidR="00FE0FA7" w:rsidRDefault="00FE0FA7" w:rsidP="00FE0FA7">
      <w:pPr>
        <w:shd w:val="clear" w:color="auto" w:fill="FFFFFF"/>
        <w:spacing w:after="0" w:line="312" w:lineRule="atLeast"/>
        <w:textAlignment w:val="baseline"/>
        <w:rPr>
          <w:rFonts w:ascii="Century Gothic" w:eastAsia="Times New Roman" w:hAnsi="Century Gothic" w:cs="Times New Roman"/>
          <w:color w:val="3C3C3B"/>
          <w:bdr w:val="none" w:sz="0" w:space="0" w:color="auto" w:frame="1"/>
          <w:lang w:eastAsia="en-GB"/>
        </w:rPr>
      </w:pPr>
      <w:r w:rsidRPr="00FE0FA7">
        <w:rPr>
          <w:rFonts w:ascii="Century Gothic" w:eastAsia="Times New Roman" w:hAnsi="Century Gothic" w:cs="Times New Roman"/>
          <w:color w:val="3C3C3B"/>
          <w:bdr w:val="none" w:sz="0" w:space="0" w:color="auto" w:frame="1"/>
          <w:lang w:eastAsia="en-GB"/>
        </w:rPr>
        <w:t>Mouth-blown instruments cannot be shared safely</w:t>
      </w:r>
      <w:r>
        <w:rPr>
          <w:rFonts w:ascii="Century Gothic" w:eastAsia="Times New Roman" w:hAnsi="Century Gothic" w:cs="Times New Roman"/>
          <w:color w:val="3C3C3B"/>
          <w:bdr w:val="none" w:sz="0" w:space="0" w:color="auto" w:frame="1"/>
          <w:lang w:eastAsia="en-GB"/>
        </w:rPr>
        <w:t>.</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bookmarkStart w:id="0" w:name="_GoBack"/>
      <w:bookmarkEnd w:id="0"/>
      <w:r w:rsidRPr="00FE0FA7">
        <w:rPr>
          <w:rFonts w:ascii="Century Gothic" w:eastAsia="Times New Roman" w:hAnsi="Century Gothic" w:cs="Times New Roman"/>
          <w:color w:val="3C3C3B"/>
          <w:bdr w:val="none" w:sz="0" w:space="0" w:color="auto" w:frame="1"/>
          <w:lang w:eastAsia="en-GB"/>
        </w:rPr>
        <w:t>Ideally, this also applies to instruments like violin or guitar.  It may not be practical for percussion-based programmes (e.g. African drumming, samba), in which case, instrument cleaning and enhanced hand hygiene are essential.</w:t>
      </w:r>
    </w:p>
    <w:p w:rsidR="00FE0FA7" w:rsidRPr="00FE0FA7" w:rsidRDefault="00FE0FA7" w:rsidP="00FE0FA7">
      <w:pPr>
        <w:shd w:val="clear" w:color="auto" w:fill="FFFFFF"/>
        <w:spacing w:beforeAutospacing="1" w:after="0" w:line="288" w:lineRule="atLeast"/>
        <w:textAlignment w:val="baseline"/>
        <w:outlineLvl w:val="1"/>
        <w:rPr>
          <w:rFonts w:ascii="Times New Roman" w:eastAsia="Times New Roman" w:hAnsi="Times New Roman" w:cs="Times New Roman"/>
          <w:b/>
          <w:bCs/>
          <w:color w:val="201F1E"/>
          <w:sz w:val="36"/>
          <w:szCs w:val="36"/>
          <w:lang w:eastAsia="en-GB"/>
        </w:rPr>
      </w:pPr>
      <w:r w:rsidRPr="00FE0FA7">
        <w:rPr>
          <w:rFonts w:ascii="Century Gothic" w:eastAsia="Times New Roman" w:hAnsi="Century Gothic" w:cs="Times New Roman"/>
          <w:b/>
          <w:bCs/>
          <w:color w:val="3C3C3B"/>
          <w:spacing w:val="-5"/>
          <w:bdr w:val="none" w:sz="0" w:space="0" w:color="auto" w:frame="1"/>
          <w:lang w:eastAsia="en-GB"/>
        </w:rPr>
        <w:t>Ensembles and choirs</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i/>
          <w:iCs/>
          <w:color w:val="3C3C3B"/>
          <w:bdr w:val="none" w:sz="0" w:space="0" w:color="auto" w:frame="1"/>
          <w:lang w:eastAsia="en-GB"/>
        </w:rPr>
        <w:t>Groups should be kept apart, meaning that schools should avoid large gatherings such as assemblies or collective worship with more than one group.</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i/>
          <w:iCs/>
          <w:color w:val="3C3C3B"/>
          <w:bdr w:val="none" w:sz="0" w:space="0" w:color="auto" w:frame="1"/>
          <w:lang w:eastAsia="en-GB"/>
        </w:rPr>
        <w:t>Schools should consider…playing instruments or singing in small groups…limiting group sizes to no more than 15…</w:t>
      </w:r>
    </w:p>
    <w:p w:rsidR="00FE0FA7" w:rsidRPr="00FE0FA7" w:rsidRDefault="00FE0FA7" w:rsidP="00FE0FA7">
      <w:pPr>
        <w:shd w:val="clear" w:color="auto" w:fill="FFFFFF"/>
        <w:spacing w:beforeAutospacing="1"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This gives limited freedom to bring pupils together for music rehearsals.  As always, risk assessment will be key.  Even within the absolute limit of fifteen, the space available and the need for distancing must dictate maximum numbers.</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N.B. exceeding the limit of fifteen in the guidance may affect insurance, even if the space is large enough to allow more than 3m2 per person or maintain 2-3m linear distancing.</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All advice in </w:t>
      </w:r>
      <w:r w:rsidRPr="00FE0FA7">
        <w:rPr>
          <w:rFonts w:ascii="Century Gothic" w:eastAsia="Times New Roman" w:hAnsi="Century Gothic" w:cs="Times New Roman"/>
          <w:i/>
          <w:iCs/>
          <w:color w:val="3C3C3B"/>
          <w:bdr w:val="none" w:sz="0" w:space="0" w:color="auto" w:frame="1"/>
          <w:lang w:eastAsia="en-GB"/>
        </w:rPr>
        <w:t>Music Unlocked</w:t>
      </w:r>
      <w:r w:rsidRPr="00FE0FA7">
        <w:rPr>
          <w:rFonts w:ascii="Century Gothic" w:eastAsia="Times New Roman" w:hAnsi="Century Gothic" w:cs="Times New Roman"/>
          <w:color w:val="3C3C3B"/>
          <w:bdr w:val="none" w:sz="0" w:space="0" w:color="auto" w:frame="1"/>
          <w:lang w:eastAsia="en-GB"/>
        </w:rPr>
        <w:t> on choirs and ensembles of different types still stands.  If singing or playing mouth-blown instruments, rehearsing time should be limited to 40 minutes.</w:t>
      </w:r>
    </w:p>
    <w:p w:rsidR="00FE0FA7" w:rsidRPr="00FE0FA7" w:rsidRDefault="00FE0FA7" w:rsidP="00FE0FA7">
      <w:pPr>
        <w:shd w:val="clear" w:color="auto" w:fill="FFFFFF"/>
        <w:spacing w:beforeAutospacing="1" w:after="0" w:line="288" w:lineRule="atLeast"/>
        <w:textAlignment w:val="baseline"/>
        <w:outlineLvl w:val="1"/>
        <w:rPr>
          <w:rFonts w:ascii="Times New Roman" w:eastAsia="Times New Roman" w:hAnsi="Times New Roman" w:cs="Times New Roman"/>
          <w:b/>
          <w:bCs/>
          <w:color w:val="201F1E"/>
          <w:sz w:val="36"/>
          <w:szCs w:val="36"/>
          <w:lang w:eastAsia="en-GB"/>
        </w:rPr>
      </w:pPr>
      <w:r w:rsidRPr="00FE0FA7">
        <w:rPr>
          <w:rFonts w:ascii="Century Gothic" w:eastAsia="Times New Roman" w:hAnsi="Century Gothic" w:cs="Times New Roman"/>
          <w:b/>
          <w:bCs/>
          <w:color w:val="3C3C3B"/>
          <w:spacing w:val="-5"/>
          <w:bdr w:val="none" w:sz="0" w:space="0" w:color="auto" w:frame="1"/>
          <w:lang w:eastAsia="en-GB"/>
        </w:rPr>
        <w:t>Music around the school</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i/>
          <w:iCs/>
          <w:color w:val="3C3C3B"/>
          <w:bdr w:val="none" w:sz="0" w:space="0" w:color="auto" w:frame="1"/>
          <w:lang w:eastAsia="en-GB"/>
        </w:rPr>
        <w:t>Schools should consider resuming any breakfast and after-school provision, where possible, from the start of the autumn term.</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i/>
          <w:iCs/>
          <w:color w:val="3C3C3B"/>
          <w:bdr w:val="none" w:sz="0" w:space="0" w:color="auto" w:frame="1"/>
          <w:lang w:eastAsia="en-GB"/>
        </w:rPr>
        <w:t>Such provision will help…provide enrichment activities.</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i/>
          <w:iCs/>
          <w:color w:val="3C3C3B"/>
          <w:bdr w:val="none" w:sz="0" w:space="0" w:color="auto" w:frame="1"/>
          <w:lang w:eastAsia="en-GB"/>
        </w:rPr>
        <w:t>If it is not possible to maintain bubbles being used during the school day then schools should use small, consistent groups.</w:t>
      </w:r>
    </w:p>
    <w:p w:rsidR="00FE0FA7" w:rsidRPr="00FE0FA7" w:rsidRDefault="00FE0FA7" w:rsidP="00FE0FA7">
      <w:pPr>
        <w:shd w:val="clear" w:color="auto" w:fill="FFFFFF"/>
        <w:spacing w:beforeAutospacing="1"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Ensuring that music regains its place in the school’s extra-curricular life will help the school community feel like normality is on its way back.  Consistent groups will promote progression and meaningful preparation for performance or sharing, by whatever means may be possible (e.g. streaming).  As with any musical activity, risk assessments will need to take into account the specific circumstances of the group, in order to ensure all participants’ safety.</w:t>
      </w:r>
    </w:p>
    <w:p w:rsidR="00FE0FA7" w:rsidRDefault="00FE0FA7" w:rsidP="00FE0FA7">
      <w:pPr>
        <w:shd w:val="clear" w:color="auto" w:fill="FFFFFF"/>
        <w:spacing w:beforeAutospacing="1" w:after="0" w:line="288" w:lineRule="atLeast"/>
        <w:textAlignment w:val="baseline"/>
        <w:outlineLvl w:val="1"/>
        <w:rPr>
          <w:rFonts w:ascii="Century Gothic" w:eastAsia="Times New Roman" w:hAnsi="Century Gothic" w:cs="Times New Roman"/>
          <w:b/>
          <w:bCs/>
          <w:color w:val="3C3C3B"/>
          <w:spacing w:val="-5"/>
          <w:bdr w:val="none" w:sz="0" w:space="0" w:color="auto" w:frame="1"/>
          <w:lang w:eastAsia="en-GB"/>
        </w:rPr>
      </w:pPr>
    </w:p>
    <w:p w:rsidR="00FE0FA7" w:rsidRPr="00FE0FA7" w:rsidRDefault="00FE0FA7" w:rsidP="00FE0FA7">
      <w:pPr>
        <w:shd w:val="clear" w:color="auto" w:fill="FFFFFF"/>
        <w:spacing w:beforeAutospacing="1" w:after="0" w:line="288" w:lineRule="atLeast"/>
        <w:textAlignment w:val="baseline"/>
        <w:outlineLvl w:val="1"/>
        <w:rPr>
          <w:rFonts w:ascii="Times New Roman" w:eastAsia="Times New Roman" w:hAnsi="Times New Roman" w:cs="Times New Roman"/>
          <w:b/>
          <w:bCs/>
          <w:color w:val="201F1E"/>
          <w:sz w:val="36"/>
          <w:szCs w:val="36"/>
          <w:lang w:eastAsia="en-GB"/>
        </w:rPr>
      </w:pPr>
      <w:r w:rsidRPr="00FE0FA7">
        <w:rPr>
          <w:rFonts w:ascii="Century Gothic" w:eastAsia="Times New Roman" w:hAnsi="Century Gothic" w:cs="Times New Roman"/>
          <w:b/>
          <w:bCs/>
          <w:color w:val="3C3C3B"/>
          <w:spacing w:val="-5"/>
          <w:bdr w:val="none" w:sz="0" w:space="0" w:color="auto" w:frame="1"/>
          <w:lang w:eastAsia="en-GB"/>
        </w:rPr>
        <w:t>Making music safely</w:t>
      </w:r>
    </w:p>
    <w:p w:rsidR="00FE0FA7" w:rsidRPr="00FE0FA7" w:rsidRDefault="00FE0FA7" w:rsidP="00FE0FA7">
      <w:pPr>
        <w:shd w:val="clear" w:color="auto" w:fill="FFFFFF"/>
        <w:spacing w:beforeAutospacing="1"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While the science behind the risks of making music is still subject to peer review, it is prudent to follow sensible precautions.  Therefore, in music lessons and musical activities:</w:t>
      </w:r>
    </w:p>
    <w:p w:rsidR="00FE0FA7" w:rsidRPr="00FE0FA7" w:rsidRDefault="00FE0FA7" w:rsidP="00FE0FA7">
      <w:pPr>
        <w:shd w:val="clear" w:color="auto" w:fill="FFFFFF"/>
        <w:spacing w:after="0" w:line="312" w:lineRule="atLeast"/>
        <w:ind w:left="450" w:hanging="360"/>
        <w:textAlignment w:val="baseline"/>
        <w:rPr>
          <w:rFonts w:ascii="Calibri" w:eastAsia="Times New Roman" w:hAnsi="Calibri" w:cs="Calibri"/>
          <w:color w:val="201F1E"/>
          <w:lang w:eastAsia="en-GB"/>
        </w:rPr>
      </w:pPr>
      <w:r w:rsidRPr="00FE0FA7">
        <w:rPr>
          <w:rFonts w:ascii="Century Gothic" w:eastAsia="Times New Roman" w:hAnsi="Century Gothic" w:cs="Calibri"/>
          <w:color w:val="3C3C3B"/>
          <w:bdr w:val="none" w:sz="0" w:space="0" w:color="auto" w:frame="1"/>
          <w:lang w:eastAsia="en-GB"/>
        </w:rPr>
        <w:t>1.</w:t>
      </w:r>
      <w:r w:rsidRPr="00FE0FA7">
        <w:rPr>
          <w:rFonts w:ascii="Times New Roman" w:eastAsia="Times New Roman" w:hAnsi="Times New Roman" w:cs="Times New Roman"/>
          <w:color w:val="3C3C3B"/>
          <w:sz w:val="14"/>
          <w:szCs w:val="14"/>
          <w:bdr w:val="none" w:sz="0" w:space="0" w:color="auto" w:frame="1"/>
          <w:lang w:eastAsia="en-GB"/>
        </w:rPr>
        <w:t>      </w:t>
      </w:r>
      <w:r w:rsidRPr="00FE0FA7">
        <w:rPr>
          <w:rFonts w:ascii="Century Gothic" w:eastAsia="Times New Roman" w:hAnsi="Century Gothic" w:cs="Calibri"/>
          <w:color w:val="3C3C3B"/>
          <w:bdr w:val="none" w:sz="0" w:space="0" w:color="auto" w:frame="1"/>
          <w:lang w:eastAsia="en-GB"/>
        </w:rPr>
        <w:t xml:space="preserve">Keep singing to a soft dynamic. Avoid chanting loudly or using repertoire or activities that contain plosive consonants </w:t>
      </w:r>
      <w:r w:rsidRPr="00FE0FA7">
        <w:rPr>
          <w:rFonts w:ascii="Century Gothic" w:eastAsia="Times New Roman" w:hAnsi="Century Gothic" w:cs="Calibri"/>
          <w:color w:val="3C3C3B"/>
          <w:bdr w:val="none" w:sz="0" w:space="0" w:color="auto" w:frame="1"/>
          <w:lang w:eastAsia="en-GB"/>
        </w:rPr>
        <w:lastRenderedPageBreak/>
        <w:t>(</w:t>
      </w:r>
      <w:hyperlink r:id="rId5" w:tgtFrame="_blank" w:history="1">
        <w:r w:rsidRPr="00FE0FA7">
          <w:rPr>
            <w:rFonts w:ascii="Century Gothic" w:eastAsia="Times New Roman" w:hAnsi="Century Gothic" w:cs="Calibri"/>
            <w:color w:val="A21F3C"/>
            <w:u w:val="single"/>
            <w:bdr w:val="none" w:sz="0" w:space="0" w:color="auto" w:frame="1"/>
            <w:lang w:eastAsia="en-GB"/>
          </w:rPr>
          <w:t>https://thesoundofenglish.org/plosives/</w:t>
        </w:r>
      </w:hyperlink>
      <w:r w:rsidRPr="00FE0FA7">
        <w:rPr>
          <w:rFonts w:ascii="Century Gothic" w:eastAsia="Times New Roman" w:hAnsi="Century Gothic" w:cs="Calibri"/>
          <w:color w:val="3C3C3B"/>
          <w:bdr w:val="none" w:sz="0" w:space="0" w:color="auto" w:frame="1"/>
          <w:lang w:eastAsia="en-GB"/>
        </w:rPr>
        <w:t>). When doing these activities, try to keep as much physical distance as possible between all participants, including teachers.  Actively use humming and vowel sounds as ways of pitching/singing.</w:t>
      </w:r>
    </w:p>
    <w:p w:rsidR="00FE0FA7" w:rsidRPr="00FE0FA7" w:rsidRDefault="00FE0FA7" w:rsidP="00FE0FA7">
      <w:pPr>
        <w:shd w:val="clear" w:color="auto" w:fill="FFFFFF"/>
        <w:spacing w:after="0" w:line="312" w:lineRule="atLeast"/>
        <w:ind w:left="450" w:hanging="360"/>
        <w:textAlignment w:val="baseline"/>
        <w:rPr>
          <w:rFonts w:ascii="Calibri" w:eastAsia="Times New Roman" w:hAnsi="Calibri" w:cs="Calibri"/>
          <w:color w:val="201F1E"/>
          <w:lang w:eastAsia="en-GB"/>
        </w:rPr>
      </w:pPr>
      <w:r w:rsidRPr="00FE0FA7">
        <w:rPr>
          <w:rFonts w:ascii="Century Gothic" w:eastAsia="Times New Roman" w:hAnsi="Century Gothic" w:cs="Calibri"/>
          <w:color w:val="3C3C3B"/>
          <w:bdr w:val="none" w:sz="0" w:space="0" w:color="auto" w:frame="1"/>
          <w:lang w:eastAsia="en-GB"/>
        </w:rPr>
        <w:t>2.</w:t>
      </w:r>
      <w:r w:rsidRPr="00FE0FA7">
        <w:rPr>
          <w:rFonts w:ascii="Times New Roman" w:eastAsia="Times New Roman" w:hAnsi="Times New Roman" w:cs="Times New Roman"/>
          <w:color w:val="3C3C3B"/>
          <w:sz w:val="14"/>
          <w:szCs w:val="14"/>
          <w:bdr w:val="none" w:sz="0" w:space="0" w:color="auto" w:frame="1"/>
          <w:lang w:eastAsia="en-GB"/>
        </w:rPr>
        <w:t>      </w:t>
      </w:r>
      <w:r w:rsidRPr="00FE0FA7">
        <w:rPr>
          <w:rFonts w:ascii="Century Gothic" w:eastAsia="Times New Roman" w:hAnsi="Century Gothic" w:cs="Calibri"/>
          <w:color w:val="3C3C3B"/>
          <w:bdr w:val="none" w:sz="0" w:space="0" w:color="auto" w:frame="1"/>
          <w:lang w:eastAsia="en-GB"/>
        </w:rPr>
        <w:t>When using instruments, try to keep as much physical distance as possible between pupils/teachers. If appropriate, position pupils back-to-back or side-to-side to encourage active listening.  Stagger lines so that children do not face each other directly.</w:t>
      </w:r>
    </w:p>
    <w:p w:rsidR="00FE0FA7" w:rsidRPr="00FE0FA7" w:rsidRDefault="00FE0FA7" w:rsidP="00FE0FA7">
      <w:pPr>
        <w:shd w:val="clear" w:color="auto" w:fill="FFFFFF"/>
        <w:spacing w:after="0" w:line="312" w:lineRule="atLeast"/>
        <w:ind w:left="450" w:hanging="360"/>
        <w:textAlignment w:val="baseline"/>
        <w:rPr>
          <w:rFonts w:ascii="Calibri" w:eastAsia="Times New Roman" w:hAnsi="Calibri" w:cs="Calibri"/>
          <w:color w:val="201F1E"/>
          <w:lang w:eastAsia="en-GB"/>
        </w:rPr>
      </w:pPr>
      <w:r w:rsidRPr="00FE0FA7">
        <w:rPr>
          <w:rFonts w:ascii="Century Gothic" w:eastAsia="Times New Roman" w:hAnsi="Century Gothic" w:cs="Calibri"/>
          <w:color w:val="3C3C3B"/>
          <w:bdr w:val="none" w:sz="0" w:space="0" w:color="auto" w:frame="1"/>
          <w:lang w:eastAsia="en-GB"/>
        </w:rPr>
        <w:t>3.</w:t>
      </w:r>
      <w:r w:rsidRPr="00FE0FA7">
        <w:rPr>
          <w:rFonts w:ascii="Times New Roman" w:eastAsia="Times New Roman" w:hAnsi="Times New Roman" w:cs="Times New Roman"/>
          <w:color w:val="3C3C3B"/>
          <w:sz w:val="14"/>
          <w:szCs w:val="14"/>
          <w:bdr w:val="none" w:sz="0" w:space="0" w:color="auto" w:frame="1"/>
          <w:lang w:eastAsia="en-GB"/>
        </w:rPr>
        <w:t>      </w:t>
      </w:r>
      <w:r w:rsidRPr="00FE0FA7">
        <w:rPr>
          <w:rFonts w:ascii="Century Gothic" w:eastAsia="Times New Roman" w:hAnsi="Century Gothic" w:cs="Calibri"/>
          <w:color w:val="3C3C3B"/>
          <w:bdr w:val="none" w:sz="0" w:space="0" w:color="auto" w:frame="1"/>
          <w:lang w:eastAsia="en-GB"/>
        </w:rPr>
        <w:t>Do not share instruments between pupils and clean them between classes.</w:t>
      </w:r>
    </w:p>
    <w:p w:rsidR="00FE0FA7" w:rsidRPr="00FE0FA7" w:rsidRDefault="00FE0FA7" w:rsidP="00FE0FA7">
      <w:pPr>
        <w:shd w:val="clear" w:color="auto" w:fill="FFFFFF"/>
        <w:spacing w:after="0" w:line="312" w:lineRule="atLeast"/>
        <w:ind w:left="450" w:hanging="360"/>
        <w:textAlignment w:val="baseline"/>
        <w:rPr>
          <w:rFonts w:ascii="Calibri" w:eastAsia="Times New Roman" w:hAnsi="Calibri" w:cs="Calibri"/>
          <w:color w:val="201F1E"/>
          <w:lang w:eastAsia="en-GB"/>
        </w:rPr>
      </w:pPr>
      <w:r w:rsidRPr="00FE0FA7">
        <w:rPr>
          <w:rFonts w:ascii="Century Gothic" w:eastAsia="Times New Roman" w:hAnsi="Century Gothic" w:cs="Calibri"/>
          <w:color w:val="3C3C3B"/>
          <w:bdr w:val="none" w:sz="0" w:space="0" w:color="auto" w:frame="1"/>
          <w:lang w:eastAsia="en-GB"/>
        </w:rPr>
        <w:t>4.</w:t>
      </w:r>
      <w:r w:rsidRPr="00FE0FA7">
        <w:rPr>
          <w:rFonts w:ascii="Times New Roman" w:eastAsia="Times New Roman" w:hAnsi="Times New Roman" w:cs="Times New Roman"/>
          <w:color w:val="3C3C3B"/>
          <w:sz w:val="14"/>
          <w:szCs w:val="14"/>
          <w:bdr w:val="none" w:sz="0" w:space="0" w:color="auto" w:frame="1"/>
          <w:lang w:eastAsia="en-GB"/>
        </w:rPr>
        <w:t>      </w:t>
      </w:r>
      <w:r w:rsidRPr="00FE0FA7">
        <w:rPr>
          <w:rFonts w:ascii="Century Gothic" w:eastAsia="Times New Roman" w:hAnsi="Century Gothic" w:cs="Calibri"/>
          <w:color w:val="3C3C3B"/>
          <w:bdr w:val="none" w:sz="0" w:space="0" w:color="auto" w:frame="1"/>
          <w:lang w:eastAsia="en-GB"/>
        </w:rPr>
        <w:t>Actively use body percussion (view some ideas </w:t>
      </w:r>
      <w:hyperlink r:id="rId6" w:tgtFrame="_blank" w:history="1">
        <w:r w:rsidRPr="00FE0FA7">
          <w:rPr>
            <w:rFonts w:ascii="Century Gothic" w:eastAsia="Times New Roman" w:hAnsi="Century Gothic" w:cs="Calibri"/>
            <w:color w:val="A21F3C"/>
            <w:u w:val="single"/>
            <w:bdr w:val="none" w:sz="0" w:space="0" w:color="auto" w:frame="1"/>
            <w:lang w:eastAsia="en-GB"/>
          </w:rPr>
          <w:t>here</w:t>
        </w:r>
      </w:hyperlink>
      <w:r w:rsidRPr="00FE0FA7">
        <w:rPr>
          <w:rFonts w:ascii="Century Gothic" w:eastAsia="Times New Roman" w:hAnsi="Century Gothic" w:cs="Calibri"/>
          <w:color w:val="3C3C3B"/>
          <w:bdr w:val="none" w:sz="0" w:space="0" w:color="auto" w:frame="1"/>
          <w:lang w:eastAsia="en-GB"/>
        </w:rPr>
        <w:t> and </w:t>
      </w:r>
      <w:hyperlink r:id="rId7" w:tgtFrame="_blank" w:history="1">
        <w:r w:rsidRPr="00FE0FA7">
          <w:rPr>
            <w:rFonts w:ascii="Century Gothic" w:eastAsia="Times New Roman" w:hAnsi="Century Gothic" w:cs="Calibri"/>
            <w:color w:val="A21F3C"/>
            <w:u w:val="single"/>
            <w:bdr w:val="none" w:sz="0" w:space="0" w:color="auto" w:frame="1"/>
            <w:lang w:eastAsia="en-GB"/>
          </w:rPr>
          <w:t>here</w:t>
        </w:r>
      </w:hyperlink>
      <w:r w:rsidRPr="00FE0FA7">
        <w:rPr>
          <w:rFonts w:ascii="Century Gothic" w:eastAsia="Times New Roman" w:hAnsi="Century Gothic" w:cs="Calibri"/>
          <w:color w:val="3C3C3B"/>
          <w:bdr w:val="none" w:sz="0" w:space="0" w:color="auto" w:frame="1"/>
          <w:lang w:eastAsia="en-GB"/>
        </w:rPr>
        <w:t>), as this can engage the whole body in a musical manner.</w:t>
      </w:r>
    </w:p>
    <w:p w:rsidR="00FE0FA7" w:rsidRPr="00FE0FA7" w:rsidRDefault="00FE0FA7" w:rsidP="00FE0FA7">
      <w:pPr>
        <w:shd w:val="clear" w:color="auto" w:fill="FFFFFF"/>
        <w:spacing w:after="0" w:line="312" w:lineRule="atLeast"/>
        <w:ind w:left="450" w:hanging="360"/>
        <w:textAlignment w:val="baseline"/>
        <w:rPr>
          <w:rFonts w:ascii="Calibri" w:eastAsia="Times New Roman" w:hAnsi="Calibri" w:cs="Calibri"/>
          <w:color w:val="201F1E"/>
          <w:lang w:eastAsia="en-GB"/>
        </w:rPr>
      </w:pPr>
      <w:r w:rsidRPr="00FE0FA7">
        <w:rPr>
          <w:rFonts w:ascii="Century Gothic" w:eastAsia="Times New Roman" w:hAnsi="Century Gothic" w:cs="Calibri"/>
          <w:color w:val="3C3C3B"/>
          <w:bdr w:val="none" w:sz="0" w:space="0" w:color="auto" w:frame="1"/>
          <w:lang w:eastAsia="en-GB"/>
        </w:rPr>
        <w:t>5.</w:t>
      </w:r>
      <w:r w:rsidRPr="00FE0FA7">
        <w:rPr>
          <w:rFonts w:ascii="Times New Roman" w:eastAsia="Times New Roman" w:hAnsi="Times New Roman" w:cs="Times New Roman"/>
          <w:color w:val="3C3C3B"/>
          <w:sz w:val="14"/>
          <w:szCs w:val="14"/>
          <w:bdr w:val="none" w:sz="0" w:space="0" w:color="auto" w:frame="1"/>
          <w:lang w:eastAsia="en-GB"/>
        </w:rPr>
        <w:t>      </w:t>
      </w:r>
      <w:r w:rsidRPr="00FE0FA7">
        <w:rPr>
          <w:rFonts w:ascii="Century Gothic" w:eastAsia="Times New Roman" w:hAnsi="Century Gothic" w:cs="Calibri"/>
          <w:color w:val="3C3C3B"/>
          <w:bdr w:val="none" w:sz="0" w:space="0" w:color="auto" w:frame="1"/>
          <w:lang w:eastAsia="en-GB"/>
        </w:rPr>
        <w:t>Actively encourage listening tasks using quality recordings or films. Websites like the </w:t>
      </w:r>
      <w:hyperlink r:id="rId8" w:tgtFrame="_blank" w:history="1">
        <w:r w:rsidRPr="00FE0FA7">
          <w:rPr>
            <w:rFonts w:ascii="Century Gothic" w:eastAsia="Times New Roman" w:hAnsi="Century Gothic" w:cs="Calibri"/>
            <w:color w:val="A21F3C"/>
            <w:u w:val="single"/>
            <w:bdr w:val="none" w:sz="0" w:space="0" w:color="auto" w:frame="1"/>
            <w:lang w:eastAsia="en-GB"/>
          </w:rPr>
          <w:t>Classical 100</w:t>
        </w:r>
      </w:hyperlink>
      <w:r w:rsidRPr="00FE0FA7">
        <w:rPr>
          <w:rFonts w:ascii="Century Gothic" w:eastAsia="Times New Roman" w:hAnsi="Century Gothic" w:cs="Calibri"/>
          <w:color w:val="3C3C3B"/>
          <w:bdr w:val="none" w:sz="0" w:space="0" w:color="auto" w:frame="1"/>
          <w:lang w:eastAsia="en-GB"/>
        </w:rPr>
        <w:t> and </w:t>
      </w:r>
      <w:hyperlink r:id="rId9" w:tgtFrame="_blank" w:history="1">
        <w:r w:rsidRPr="00FE0FA7">
          <w:rPr>
            <w:rFonts w:ascii="Century Gothic" w:eastAsia="Times New Roman" w:hAnsi="Century Gothic" w:cs="Calibri"/>
            <w:color w:val="A21F3C"/>
            <w:u w:val="single"/>
            <w:bdr w:val="none" w:sz="0" w:space="0" w:color="auto" w:frame="1"/>
            <w:lang w:eastAsia="en-GB"/>
          </w:rPr>
          <w:t>BBC Ten Pieces</w:t>
        </w:r>
      </w:hyperlink>
      <w:r w:rsidRPr="00FE0FA7">
        <w:rPr>
          <w:rFonts w:ascii="Century Gothic" w:eastAsia="Times New Roman" w:hAnsi="Century Gothic" w:cs="Calibri"/>
          <w:color w:val="3C3C3B"/>
          <w:bdr w:val="none" w:sz="0" w:space="0" w:color="auto" w:frame="1"/>
          <w:lang w:eastAsia="en-GB"/>
        </w:rPr>
        <w:t> are free to use; you may have access to paid resources like the </w:t>
      </w:r>
      <w:hyperlink r:id="rId10" w:tgtFrame="_blank" w:history="1">
        <w:r w:rsidRPr="00FE0FA7">
          <w:rPr>
            <w:rFonts w:ascii="Century Gothic" w:eastAsia="Times New Roman" w:hAnsi="Century Gothic" w:cs="Calibri"/>
            <w:color w:val="A21F3C"/>
            <w:u w:val="single"/>
            <w:bdr w:val="none" w:sz="0" w:space="0" w:color="auto" w:frame="1"/>
            <w:lang w:eastAsia="en-GB"/>
          </w:rPr>
          <w:t>Naxos Music Library</w:t>
        </w:r>
      </w:hyperlink>
      <w:r w:rsidRPr="00FE0FA7">
        <w:rPr>
          <w:rFonts w:ascii="Century Gothic" w:eastAsia="Times New Roman" w:hAnsi="Century Gothic" w:cs="Calibri"/>
          <w:color w:val="3C3C3B"/>
          <w:bdr w:val="none" w:sz="0" w:space="0" w:color="auto" w:frame="1"/>
          <w:lang w:eastAsia="en-GB"/>
        </w:rPr>
        <w:t> (includes commercial recordings of jazz and musicals) through your library membership.</w:t>
      </w:r>
    </w:p>
    <w:p w:rsidR="00FE0FA7" w:rsidRPr="00FE0FA7" w:rsidRDefault="00FE0FA7" w:rsidP="00FE0FA7">
      <w:pPr>
        <w:shd w:val="clear" w:color="auto" w:fill="FFFFFF"/>
        <w:spacing w:after="0" w:line="312" w:lineRule="atLeast"/>
        <w:ind w:left="450" w:hanging="360"/>
        <w:textAlignment w:val="baseline"/>
        <w:rPr>
          <w:rFonts w:ascii="Calibri" w:eastAsia="Times New Roman" w:hAnsi="Calibri" w:cs="Calibri"/>
          <w:color w:val="201F1E"/>
          <w:lang w:eastAsia="en-GB"/>
        </w:rPr>
      </w:pPr>
      <w:r w:rsidRPr="00FE0FA7">
        <w:rPr>
          <w:rFonts w:ascii="Century Gothic" w:eastAsia="Times New Roman" w:hAnsi="Century Gothic" w:cs="Calibri"/>
          <w:color w:val="3C3C3B"/>
          <w:bdr w:val="none" w:sz="0" w:space="0" w:color="auto" w:frame="1"/>
          <w:lang w:eastAsia="en-GB"/>
        </w:rPr>
        <w:t>6.</w:t>
      </w:r>
      <w:r w:rsidRPr="00FE0FA7">
        <w:rPr>
          <w:rFonts w:ascii="Times New Roman" w:eastAsia="Times New Roman" w:hAnsi="Times New Roman" w:cs="Times New Roman"/>
          <w:color w:val="3C3C3B"/>
          <w:sz w:val="14"/>
          <w:szCs w:val="14"/>
          <w:bdr w:val="none" w:sz="0" w:space="0" w:color="auto" w:frame="1"/>
          <w:lang w:eastAsia="en-GB"/>
        </w:rPr>
        <w:t>      </w:t>
      </w:r>
      <w:r w:rsidRPr="00FE0FA7">
        <w:rPr>
          <w:rFonts w:ascii="Century Gothic" w:eastAsia="Times New Roman" w:hAnsi="Century Gothic" w:cs="Calibri"/>
          <w:color w:val="3C3C3B"/>
          <w:bdr w:val="none" w:sz="0" w:space="0" w:color="auto" w:frame="1"/>
          <w:lang w:eastAsia="en-GB"/>
        </w:rPr>
        <w:t>Deliver music sessions outside where possible and appropriate.</w:t>
      </w:r>
    </w:p>
    <w:p w:rsidR="00FE0FA7" w:rsidRPr="00FE0FA7" w:rsidRDefault="00FE0FA7" w:rsidP="00FE0FA7">
      <w:pPr>
        <w:shd w:val="clear" w:color="auto" w:fill="FFFFFF"/>
        <w:spacing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For more detail, consult the latest version of </w:t>
      </w:r>
      <w:hyperlink r:id="rId11" w:tgtFrame="_blank" w:history="1">
        <w:r w:rsidRPr="00FE0FA7">
          <w:rPr>
            <w:rFonts w:ascii="Century Gothic" w:eastAsia="Times New Roman" w:hAnsi="Century Gothic" w:cs="Times New Roman"/>
            <w:i/>
            <w:iCs/>
            <w:color w:val="A21F3C"/>
            <w:bdr w:val="none" w:sz="0" w:space="0" w:color="auto" w:frame="1"/>
            <w:lang w:eastAsia="en-GB"/>
          </w:rPr>
          <w:t>Music Unlocked</w:t>
        </w:r>
      </w:hyperlink>
      <w:r w:rsidRPr="00FE0FA7">
        <w:rPr>
          <w:rFonts w:ascii="Century Gothic" w:eastAsia="Times New Roman" w:hAnsi="Century Gothic" w:cs="Times New Roman"/>
          <w:color w:val="3C3C3B"/>
          <w:bdr w:val="none" w:sz="0" w:space="0" w:color="auto" w:frame="1"/>
          <w:lang w:eastAsia="en-GB"/>
        </w:rPr>
        <w:t>.</w:t>
      </w:r>
    </w:p>
    <w:p w:rsidR="00FE0FA7" w:rsidRPr="00FE0FA7" w:rsidRDefault="00FE0FA7" w:rsidP="00FE0FA7">
      <w:pPr>
        <w:shd w:val="clear" w:color="auto" w:fill="FFFFFF"/>
        <w:spacing w:beforeAutospacing="1" w:after="0" w:line="288" w:lineRule="atLeast"/>
        <w:textAlignment w:val="baseline"/>
        <w:outlineLvl w:val="1"/>
        <w:rPr>
          <w:rFonts w:ascii="Times New Roman" w:eastAsia="Times New Roman" w:hAnsi="Times New Roman" w:cs="Times New Roman"/>
          <w:b/>
          <w:bCs/>
          <w:color w:val="201F1E"/>
          <w:sz w:val="36"/>
          <w:szCs w:val="36"/>
          <w:lang w:eastAsia="en-GB"/>
        </w:rPr>
      </w:pPr>
      <w:r w:rsidRPr="00FE0FA7">
        <w:rPr>
          <w:rFonts w:ascii="Century Gothic" w:eastAsia="Times New Roman" w:hAnsi="Century Gothic" w:cs="Times New Roman"/>
          <w:b/>
          <w:bCs/>
          <w:color w:val="3C3C3B"/>
          <w:spacing w:val="-5"/>
          <w:bdr w:val="none" w:sz="0" w:space="0" w:color="auto" w:frame="1"/>
          <w:lang w:eastAsia="en-GB"/>
        </w:rPr>
        <w:t>Summary</w:t>
      </w:r>
    </w:p>
    <w:p w:rsidR="00FE0FA7" w:rsidRPr="00FE0FA7" w:rsidRDefault="00FE0FA7" w:rsidP="00FE0FA7">
      <w:pPr>
        <w:shd w:val="clear" w:color="auto" w:fill="FFFFFF"/>
        <w:spacing w:beforeAutospacing="1"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The Department for Education expects that Music will taught in schools up to and including year 9 from September.  It can be delivered by class teachers and visiting music teachers who can work with different classes during the day.  The caveat is that everything needs to be clearly risk assessed with mitigating and practical control measures in place.  Each school will take decisions that are best suited to their physical buildings, their pupils and their community.</w:t>
      </w:r>
    </w:p>
    <w:p w:rsidR="00FE0FA7" w:rsidRPr="00FE0FA7" w:rsidRDefault="00FE0FA7" w:rsidP="00FE0FA7">
      <w:pPr>
        <w:shd w:val="clear" w:color="auto" w:fill="FFFFFF"/>
        <w:spacing w:beforeAutospacing="1" w:after="0" w:line="312" w:lineRule="atLeast"/>
        <w:textAlignment w:val="baseline"/>
        <w:rPr>
          <w:rFonts w:ascii="Times New Roman" w:eastAsia="Times New Roman" w:hAnsi="Times New Roman" w:cs="Times New Roman"/>
          <w:color w:val="201F1E"/>
          <w:sz w:val="24"/>
          <w:szCs w:val="24"/>
          <w:lang w:eastAsia="en-GB"/>
        </w:rPr>
      </w:pPr>
      <w:r w:rsidRPr="00FE0FA7">
        <w:rPr>
          <w:rFonts w:ascii="Century Gothic" w:eastAsia="Times New Roman" w:hAnsi="Century Gothic" w:cs="Times New Roman"/>
          <w:color w:val="3C3C3B"/>
          <w:bdr w:val="none" w:sz="0" w:space="0" w:color="auto" w:frame="1"/>
          <w:lang w:eastAsia="en-GB"/>
        </w:rPr>
        <w:t xml:space="preserve">Wherever possible, the local Music Education Hub will be a supportive partner in helping to shape the return to in-person delivery and will actively welcome discussions with </w:t>
      </w:r>
      <w:proofErr w:type="spellStart"/>
      <w:r w:rsidRPr="00FE0FA7">
        <w:rPr>
          <w:rFonts w:ascii="Century Gothic" w:eastAsia="Times New Roman" w:hAnsi="Century Gothic" w:cs="Times New Roman"/>
          <w:color w:val="3C3C3B"/>
          <w:bdr w:val="none" w:sz="0" w:space="0" w:color="auto" w:frame="1"/>
          <w:lang w:eastAsia="en-GB"/>
        </w:rPr>
        <w:t>headteachers</w:t>
      </w:r>
      <w:proofErr w:type="spellEnd"/>
      <w:r w:rsidRPr="00FE0FA7">
        <w:rPr>
          <w:rFonts w:ascii="Century Gothic" w:eastAsia="Times New Roman" w:hAnsi="Century Gothic" w:cs="Times New Roman"/>
          <w:color w:val="3C3C3B"/>
          <w:bdr w:val="none" w:sz="0" w:space="0" w:color="auto" w:frame="1"/>
          <w:lang w:eastAsia="en-GB"/>
        </w:rPr>
        <w:t xml:space="preserve"> and music leaders about music education delivery.</w:t>
      </w:r>
    </w:p>
    <w:p w:rsidR="00FE0FA7" w:rsidRDefault="00FE0FA7" w:rsidP="00FE0FA7">
      <w:pPr>
        <w:shd w:val="clear" w:color="auto" w:fill="FFFFFF"/>
        <w:spacing w:beforeAutospacing="1" w:after="0" w:line="312" w:lineRule="atLeast"/>
        <w:textAlignment w:val="baseline"/>
        <w:rPr>
          <w:rFonts w:ascii="Century Gothic" w:eastAsia="Times New Roman" w:hAnsi="Century Gothic" w:cs="Times New Roman"/>
          <w:color w:val="3C3C3B"/>
          <w:bdr w:val="none" w:sz="0" w:space="0" w:color="auto" w:frame="1"/>
          <w:lang w:eastAsia="en-GB"/>
        </w:rPr>
      </w:pPr>
      <w:r w:rsidRPr="00FE0FA7">
        <w:rPr>
          <w:rFonts w:ascii="Century Gothic" w:eastAsia="Times New Roman" w:hAnsi="Century Gothic" w:cs="Times New Roman"/>
          <w:color w:val="3C3C3B"/>
          <w:bdr w:val="none" w:sz="0" w:space="0" w:color="auto" w:frame="1"/>
          <w:lang w:eastAsia="en-GB"/>
        </w:rPr>
        <w:t>Music Education will look and sound different for a while but everything is achievable.</w:t>
      </w:r>
    </w:p>
    <w:p w:rsidR="00FE0FA7" w:rsidRPr="00FE0FA7" w:rsidRDefault="00FE0FA7" w:rsidP="00FE0FA7">
      <w:pPr>
        <w:shd w:val="clear" w:color="auto" w:fill="FFFFFF"/>
        <w:spacing w:beforeAutospacing="1" w:after="0" w:line="312" w:lineRule="atLeast"/>
        <w:textAlignment w:val="baseline"/>
        <w:rPr>
          <w:rFonts w:ascii="Times New Roman" w:eastAsia="Times New Roman" w:hAnsi="Times New Roman" w:cs="Times New Roman"/>
          <w:color w:val="201F1E"/>
          <w:sz w:val="24"/>
          <w:szCs w:val="24"/>
          <w:lang w:eastAsia="en-GB"/>
        </w:rPr>
      </w:pPr>
      <w:r>
        <w:rPr>
          <w:rFonts w:ascii="Century Gothic" w:eastAsia="Times New Roman" w:hAnsi="Century Gothic" w:cs="Times New Roman"/>
          <w:color w:val="3C3C3B"/>
          <w:bdr w:val="none" w:sz="0" w:space="0" w:color="auto" w:frame="1"/>
          <w:lang w:eastAsia="en-GB"/>
        </w:rPr>
        <w:t>September 2020</w:t>
      </w:r>
    </w:p>
    <w:p w:rsidR="004A201A" w:rsidRDefault="004A201A"/>
    <w:sectPr w:rsidR="004A20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FA7"/>
    <w:rsid w:val="004A201A"/>
    <w:rsid w:val="00FE0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D0968"/>
  <w15:chartTrackingRefBased/>
  <w15:docId w15:val="{1EEFA163-59A6-4BD1-BE18-F134CED0B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76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lassical100.org/logi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beatgoeson.co.uk/free-resourc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usicmark.org.uk/resources/homebodypercussionchallenge/" TargetMode="External"/><Relationship Id="rId11" Type="http://schemas.openxmlformats.org/officeDocument/2006/relationships/hyperlink" Target="https://www.musicmark.org.uk/resources/music-unlocked-guidance-for-schools-and-music-providers/" TargetMode="External"/><Relationship Id="rId5" Type="http://schemas.openxmlformats.org/officeDocument/2006/relationships/hyperlink" Target="https://thesoundofenglish.org/plosives/" TargetMode="External"/><Relationship Id="rId10" Type="http://schemas.openxmlformats.org/officeDocument/2006/relationships/hyperlink" Target="https://www.naxosmusiclibrary.com/" TargetMode="External"/><Relationship Id="rId4" Type="http://schemas.openxmlformats.org/officeDocument/2006/relationships/hyperlink" Target="https://www.triboroughmusichub.org/school-services/music-education-recovery-curriculum/" TargetMode="External"/><Relationship Id="rId9" Type="http://schemas.openxmlformats.org/officeDocument/2006/relationships/hyperlink" Target="https://www.bbc.co.uk/teach/ten-pie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1116</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Cresswell</dc:creator>
  <cp:keywords/>
  <dc:description/>
  <cp:lastModifiedBy>Nathan Cresswell</cp:lastModifiedBy>
  <cp:revision>1</cp:revision>
  <dcterms:created xsi:type="dcterms:W3CDTF">2020-08-19T10:29:00Z</dcterms:created>
  <dcterms:modified xsi:type="dcterms:W3CDTF">2020-08-19T10:38:00Z</dcterms:modified>
</cp:coreProperties>
</file>